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6CA84" w14:textId="77777777"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4A605B57" wp14:editId="6D9D02A0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429B5" w14:textId="77777777" w:rsidR="00652C6E" w:rsidRDefault="00652C6E" w:rsidP="00652C6E"/>
    <w:p w14:paraId="6490D30D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22FD92CF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74F5D70D" w14:textId="77777777"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16481559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6667A21D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201</w:t>
      </w:r>
      <w:r w:rsidR="00DF15D9">
        <w:rPr>
          <w:rFonts w:ascii="Sylfaen" w:hAnsi="Sylfaen"/>
          <w:b/>
          <w:bCs/>
          <w:sz w:val="36"/>
          <w:szCs w:val="36"/>
        </w:rPr>
        <w:t>9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ბიუჯეტის შესრულების მიმოხილვა </w:t>
      </w:r>
    </w:p>
    <w:p w14:paraId="30C327E0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9DD8115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51ADF21F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92E73E5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620C97F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52DED48B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98CB64E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63AB810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5B3FC9B" w14:textId="77777777"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64EE8206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2CFF1778" w14:textId="0E1EAF4B" w:rsidR="00652C6E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F15D9">
        <w:rPr>
          <w:rFonts w:ascii="Sylfaen" w:hAnsi="Sylfaen"/>
          <w:b/>
          <w:bCs/>
          <w:sz w:val="28"/>
          <w:szCs w:val="28"/>
        </w:rPr>
        <w:t>20</w:t>
      </w:r>
    </w:p>
    <w:p w14:paraId="4A379208" w14:textId="47200CD0" w:rsidR="00245D70" w:rsidRDefault="00245D70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</w:p>
    <w:p w14:paraId="339854E4" w14:textId="77777777" w:rsidR="00245D70" w:rsidRPr="00DF15D9" w:rsidRDefault="00245D70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bookmarkStart w:id="0" w:name="_GoBack"/>
      <w:bookmarkEnd w:id="0"/>
    </w:p>
    <w:p w14:paraId="513410AA" w14:textId="77777777" w:rsidR="00652C6E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5B210FCB" w14:textId="77777777" w:rsidR="001322B1" w:rsidRPr="00185F45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1E67CDDE" w14:textId="77777777" w:rsidR="007E6BC3" w:rsidRDefault="001322B1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/>
          <w:b/>
          <w:noProof/>
          <w:sz w:val="28"/>
          <w:szCs w:val="28"/>
          <w:lang w:val="pt-BR"/>
        </w:rPr>
        <w:t>20</w:t>
      </w:r>
      <w:r w:rsidR="007A7059" w:rsidRPr="00185F45">
        <w:rPr>
          <w:rFonts w:ascii="Sylfaen" w:hAnsi="Sylfaen"/>
          <w:b/>
          <w:noProof/>
          <w:sz w:val="28"/>
          <w:szCs w:val="28"/>
          <w:lang w:val="pt-BR"/>
        </w:rPr>
        <w:t>1</w:t>
      </w:r>
      <w:r w:rsidR="00DF15D9">
        <w:rPr>
          <w:rFonts w:ascii="Sylfaen" w:hAnsi="Sylfaen"/>
          <w:b/>
          <w:noProof/>
          <w:sz w:val="28"/>
          <w:szCs w:val="28"/>
        </w:rPr>
        <w:t>9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წლის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185F45" w:rsidRPr="00185F45">
        <w:rPr>
          <w:rFonts w:ascii="Sylfaen" w:hAnsi="Sylfaen" w:cs="Sylfaen"/>
          <w:b/>
          <w:noProof/>
          <w:sz w:val="28"/>
          <w:szCs w:val="28"/>
          <w:lang w:val="pt-BR"/>
        </w:rPr>
        <w:t>საქართველოს</w:t>
      </w:r>
      <w:r w:rsidR="00185F45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სახელმწიფო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ბიუჯეტის</w:t>
      </w:r>
      <w:r w:rsidR="009A3439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შესრულების</w:t>
      </w:r>
      <w:r w:rsidR="00B40552">
        <w:rPr>
          <w:rFonts w:ascii="Sylfaen" w:hAnsi="Sylfaen"/>
          <w:b/>
          <w:noProof/>
          <w:sz w:val="28"/>
          <w:szCs w:val="28"/>
          <w:lang w:val="ka-GE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მაჩვენებლები</w:t>
      </w:r>
    </w:p>
    <w:p w14:paraId="0F517F70" w14:textId="77777777"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4492B198" w14:textId="77777777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4AB4001D" w14:textId="77777777" w:rsidR="00121435" w:rsidRDefault="00121435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438"/>
        <w:gridCol w:w="1689"/>
        <w:gridCol w:w="1665"/>
        <w:gridCol w:w="1274"/>
        <w:gridCol w:w="1274"/>
      </w:tblGrid>
      <w:tr w:rsidR="00121435" w14:paraId="2FBDFD6B" w14:textId="77777777" w:rsidTr="00121435">
        <w:trPr>
          <w:trHeight w:val="288"/>
          <w:tblHeader/>
        </w:trPr>
        <w:tc>
          <w:tcPr>
            <w:tcW w:w="2420" w:type="pct"/>
            <w:shd w:val="clear" w:color="auto" w:fill="auto"/>
            <w:vAlign w:val="center"/>
            <w:hideMark/>
          </w:tcPr>
          <w:p w14:paraId="767547F3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C56394E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2019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დამტკიცებული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2E11AE8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2019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0D2319C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2019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AC62D20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121435" w14:paraId="00D20FB5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26AFAEB7" w14:textId="77777777" w:rsidR="00121435" w:rsidRDefault="0012143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CCE68D7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10,540,400.0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598C916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10,540,400.0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16727AF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10,675,037.7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D6A447B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101.3%</w:t>
            </w:r>
          </w:p>
        </w:tc>
      </w:tr>
      <w:tr w:rsidR="00121435" w14:paraId="6EFE9B0D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15B1513F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E86A418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9,645,000.0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E5219A1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9,645,000.0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EADFCAB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9,665,567.7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3C31B65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100.2%</w:t>
            </w:r>
          </w:p>
        </w:tc>
      </w:tr>
      <w:tr w:rsidR="00121435" w14:paraId="1AEA9BF7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388F25C1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6A82378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390,400.0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B65A1F0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390,400.0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5024AE1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489,635.3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3FF79A6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125.4%</w:t>
            </w:r>
          </w:p>
        </w:tc>
      </w:tr>
      <w:tr w:rsidR="00121435" w14:paraId="608516C8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356E1139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A977DEA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505,000.0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0C65B6B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505,000.0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4ADD071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519,834.8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B225E36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102.9%</w:t>
            </w:r>
          </w:p>
        </w:tc>
      </w:tr>
      <w:tr w:rsidR="00121435" w14:paraId="53EFA148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6CC7D656" w14:textId="77777777" w:rsidR="00121435" w:rsidRDefault="0012143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9769FB9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9,999,052.9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6DA470F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9,944,658.2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EE4F5E5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9,975,521.8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0BA3E2B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100.3%</w:t>
            </w:r>
          </w:p>
        </w:tc>
      </w:tr>
      <w:tr w:rsidR="00121435" w14:paraId="6D9DB987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2B0B20B2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4F228D3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1,469,483.7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9151087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1,451,992.0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827D7C4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1,454,734.0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B8D7A68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100.2%</w:t>
            </w:r>
          </w:p>
        </w:tc>
      </w:tr>
      <w:tr w:rsidR="00121435" w14:paraId="79A7BED4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56E35066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99049AB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1,246,432.1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F67258C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1,289,683.6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3185270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1,301,914.5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71F5FB7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100.9%</w:t>
            </w:r>
          </w:p>
        </w:tc>
      </w:tr>
      <w:tr w:rsidR="00121435" w14:paraId="0E4AEA5F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3350B291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9DF3FB7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624,041.0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49C1D8E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611,319.7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426B4C4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604,496.0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BF1976C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121435" w14:paraId="726D1B5A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6B0DF3B5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14B659C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435,087.0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485D915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472,638.6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DE5B213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489,689.6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FED6CA1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103.6%</w:t>
            </w:r>
          </w:p>
        </w:tc>
      </w:tr>
      <w:tr w:rsidR="00121435" w14:paraId="365BED74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5EBF34BE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8575056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787,932.1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8B1E1FC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797,752.4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B376C38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798,308.9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83F7AEE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B840CF" w14:paraId="618F15E5" w14:textId="77777777" w:rsidTr="00B840CF">
        <w:trPr>
          <w:trHeight w:val="350"/>
        </w:trPr>
        <w:tc>
          <w:tcPr>
            <w:tcW w:w="2420" w:type="pct"/>
            <w:shd w:val="clear" w:color="auto" w:fill="auto"/>
            <w:vAlign w:val="center"/>
          </w:tcPr>
          <w:p w14:paraId="7FB151AE" w14:textId="77777777" w:rsidR="00B840CF" w:rsidRDefault="00B840CF" w:rsidP="00B840CF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მ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ათ შორის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კაპიტალური</w:t>
            </w:r>
            <w:proofErr w:type="spellEnd"/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097788C" w14:textId="77777777" w:rsidR="00B840CF" w:rsidRPr="00425B72" w:rsidRDefault="00B840CF">
            <w:pPr>
              <w:jc w:val="center"/>
              <w:rPr>
                <w:rFonts w:ascii="Sylfaen" w:hAnsi="Sylfaen" w:cs="Calibri"/>
                <w:color w:val="1F497D" w:themeColor="text2"/>
                <w:sz w:val="20"/>
                <w:szCs w:val="20"/>
              </w:rPr>
            </w:pP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628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,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816.1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DF861E8" w14:textId="77777777" w:rsidR="00B840CF" w:rsidRPr="00425B72" w:rsidRDefault="00B840CF">
            <w:pPr>
              <w:jc w:val="center"/>
              <w:rPr>
                <w:rFonts w:ascii="Sylfaen" w:hAnsi="Sylfaen" w:cs="Calibri"/>
                <w:color w:val="1F497D" w:themeColor="text2"/>
                <w:sz w:val="20"/>
                <w:szCs w:val="20"/>
              </w:rPr>
            </w:pP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616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,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879.7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D0F353" w14:textId="77777777" w:rsidR="00B840CF" w:rsidRPr="00425B72" w:rsidRDefault="00B840CF">
            <w:pPr>
              <w:jc w:val="center"/>
              <w:rPr>
                <w:rFonts w:ascii="Sylfaen" w:hAnsi="Sylfaen" w:cs="Calibri"/>
                <w:color w:val="1F497D" w:themeColor="text2"/>
                <w:sz w:val="20"/>
                <w:szCs w:val="20"/>
              </w:rPr>
            </w:pP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615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,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740.1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137C2A" w14:textId="77777777" w:rsidR="00B840CF" w:rsidRPr="00425B72" w:rsidRDefault="00B840CF">
            <w:pPr>
              <w:jc w:val="center"/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</w:pP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99.8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%</w:t>
            </w:r>
          </w:p>
        </w:tc>
      </w:tr>
      <w:tr w:rsidR="00121435" w14:paraId="7243AB9E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4947ECB3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7506831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3,886,912.0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2B9FF7D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3,946,818.0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48B102B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3,946,606.1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5F7E61C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121435" w14:paraId="2BCE9E14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291BB85F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77CE49D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1,549,165.0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D5B152D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1,374,453.8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A485DC1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1,379,772.7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5417913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100.4%</w:t>
            </w:r>
          </w:p>
        </w:tc>
      </w:tr>
      <w:tr w:rsidR="00B840CF" w14:paraId="638CF5E0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</w:tcPr>
          <w:p w14:paraId="30932661" w14:textId="77777777" w:rsidR="00B840CF" w:rsidRDefault="00B840CF" w:rsidP="00B840CF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მ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ათ შორის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სხვადასხვა</w:t>
            </w:r>
            <w:proofErr w:type="spellEnd"/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კაპიტალური</w:t>
            </w:r>
            <w:proofErr w:type="spellEnd"/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ხარჯი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</w:tcPr>
          <w:p w14:paraId="18342B29" w14:textId="77777777" w:rsidR="00B840CF" w:rsidRPr="00425B72" w:rsidRDefault="00B840CF">
            <w:pPr>
              <w:jc w:val="center"/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</w:pP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335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,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031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.0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688828" w14:textId="77777777" w:rsidR="00B840CF" w:rsidRPr="00425B72" w:rsidRDefault="00B840CF">
            <w:pPr>
              <w:jc w:val="center"/>
              <w:rPr>
                <w:rFonts w:ascii="Sylfaen" w:hAnsi="Sylfaen" w:cs="Calibri"/>
                <w:color w:val="1F497D" w:themeColor="text2"/>
                <w:sz w:val="20"/>
                <w:szCs w:val="20"/>
              </w:rPr>
            </w:pP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305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,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581.6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93C2C37" w14:textId="77777777" w:rsidR="00B840CF" w:rsidRPr="00425B72" w:rsidRDefault="00B840CF">
            <w:pPr>
              <w:jc w:val="center"/>
              <w:rPr>
                <w:rFonts w:ascii="Sylfaen" w:hAnsi="Sylfaen" w:cs="Calibri"/>
                <w:color w:val="1F497D" w:themeColor="text2"/>
                <w:sz w:val="20"/>
                <w:szCs w:val="20"/>
              </w:rPr>
            </w:pP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289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,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535.4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47910F8" w14:textId="77777777" w:rsidR="00B840CF" w:rsidRPr="00425B72" w:rsidRDefault="00B840CF">
            <w:pPr>
              <w:jc w:val="center"/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</w:pP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94.7</w:t>
            </w:r>
            <w:r w:rsidRPr="00425B72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%</w:t>
            </w:r>
          </w:p>
        </w:tc>
      </w:tr>
      <w:tr w:rsidR="00121435" w14:paraId="2BA8F08E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31C16EEA" w14:textId="77777777" w:rsidR="00121435" w:rsidRDefault="0012143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საოპერაციო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4C8C6FF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541,347.1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5870320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595,741.8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78F97FA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699,515.9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AC611E2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117.4%</w:t>
            </w:r>
          </w:p>
        </w:tc>
      </w:tr>
      <w:tr w:rsidR="00121435" w14:paraId="2C1A8BCC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0B214F2E" w14:textId="77777777" w:rsidR="00121435" w:rsidRDefault="0012143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7E75827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2,057,593.1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12D8BBD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2,107,289.9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B5694A5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2,162,897.2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391669D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102.6%</w:t>
            </w:r>
          </w:p>
        </w:tc>
      </w:tr>
      <w:tr w:rsidR="00121435" w14:paraId="6C8DDAA5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1171E735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9BF846A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2,137,593.1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347BE23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2,187,289.9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2560036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2,256,128.1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852D3A3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103.1%</w:t>
            </w:r>
          </w:p>
        </w:tc>
      </w:tr>
      <w:tr w:rsidR="00121435" w14:paraId="6D0316FA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1909E242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B39AA43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80,000.0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E458D3A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80,000.0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D47CF73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93,231.0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6EE3F67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116.5%</w:t>
            </w:r>
          </w:p>
        </w:tc>
      </w:tr>
      <w:tr w:rsidR="00121435" w14:paraId="7D9E7D8F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2A955661" w14:textId="77777777" w:rsidR="00121435" w:rsidRDefault="0012143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მთლიანი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E1F8DE5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-1,516,246.0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B936F0B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-1,511,548.1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217E591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-1,463,381.3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9CECD16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96.8%</w:t>
            </w:r>
          </w:p>
        </w:tc>
      </w:tr>
      <w:tr w:rsidR="00121435" w14:paraId="03D7D8FE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4443DC79" w14:textId="77777777" w:rsidR="00121435" w:rsidRDefault="0012143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ფინასური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A6DDBCE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-267,200.0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3966379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-259,695.0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B72F9B1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-87,144.9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4E1C1E3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33.6%</w:t>
            </w:r>
          </w:p>
        </w:tc>
      </w:tr>
      <w:tr w:rsidR="00121435" w14:paraId="0C802C20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0AAC2C3E" w14:textId="77777777" w:rsidR="00121435" w:rsidRDefault="00121435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A2A0132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209,390.0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87C9743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216,895.0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EC38C61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278,880.5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EED3111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128.6%</w:t>
            </w:r>
          </w:p>
        </w:tc>
      </w:tr>
      <w:tr w:rsidR="00121435" w14:paraId="036A356E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2C297E06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ED48113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209,390.0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9688806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216,895.0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A372B04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278,880.5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17A1451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128.6%</w:t>
            </w:r>
          </w:p>
        </w:tc>
      </w:tr>
      <w:tr w:rsidR="00121435" w14:paraId="544CE343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1C9073D0" w14:textId="77777777" w:rsidR="00121435" w:rsidRDefault="00121435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CB7A48A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476,590.0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C3021E4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476,590.0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D910710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366,025.4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FC8C57A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76.8%</w:t>
            </w:r>
          </w:p>
        </w:tc>
      </w:tr>
      <w:tr w:rsidR="00121435" w14:paraId="6B9EFD51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24B76A9E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B81EABE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356,590.0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2174F78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356,590.0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3507D45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217,496.4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1E28F45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61.0%</w:t>
            </w:r>
          </w:p>
        </w:tc>
      </w:tr>
      <w:tr w:rsidR="00121435" w14:paraId="5B35C0A3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4D68EF8F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DBB1757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120,000.0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D7B4F02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120,000.0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E92B082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148,528.7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C8A2837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123.8%</w:t>
            </w:r>
          </w:p>
        </w:tc>
      </w:tr>
      <w:tr w:rsidR="00121435" w14:paraId="63EB4A4F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382C1464" w14:textId="77777777" w:rsidR="00121435" w:rsidRDefault="0012143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დებიტორული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დავალიანებები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E171EBE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8030D68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82612F8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7B272D0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121435" w14:paraId="3172B8EF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548EB41B" w14:textId="77777777" w:rsidR="00121435" w:rsidRDefault="0012143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1A04FDF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1,249,046.0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E24CC3D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1,251,853.1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4BC4322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1,376,236.4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5686836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109.9%</w:t>
            </w:r>
          </w:p>
        </w:tc>
      </w:tr>
      <w:tr w:rsidR="00121435" w14:paraId="5D345D7B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192D7015" w14:textId="77777777" w:rsidR="00121435" w:rsidRDefault="00121435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F31A580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2,216,125.0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EA71178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2,216,125.0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A55E6B5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2,335,394.8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C809DD9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105.4%</w:t>
            </w:r>
          </w:p>
        </w:tc>
      </w:tr>
      <w:tr w:rsidR="00121435" w14:paraId="6382D309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3CF314BF" w14:textId="77777777" w:rsidR="00121435" w:rsidRDefault="00121435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46FADCA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900,000.0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B6B0662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900,000.0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3E0BBF0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948,771.5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F96B3F6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105.4%</w:t>
            </w:r>
          </w:p>
        </w:tc>
      </w:tr>
      <w:tr w:rsidR="00121435" w14:paraId="5434565C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2CE6E4FA" w14:textId="77777777" w:rsidR="00121435" w:rsidRDefault="0012143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0EB0318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900,000.0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2E27301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900,000.0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462CB8D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948,771.2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D27A00F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105.4%</w:t>
            </w:r>
          </w:p>
        </w:tc>
      </w:tr>
      <w:tr w:rsidR="00121435" w14:paraId="1DAA4C9B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76E1EB60" w14:textId="77777777" w:rsidR="00121435" w:rsidRDefault="0012143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კრედიტორული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დავალიანებები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40FA78D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79BB8CA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C0D2528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F57281B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121435" w14:paraId="430D9957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2949A403" w14:textId="77777777" w:rsidR="00121435" w:rsidRDefault="00121435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925C86E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1,316,125.0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986E66D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1,316,125.0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7429B7F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1,386,623.3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1541DF1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105.4%</w:t>
            </w:r>
          </w:p>
        </w:tc>
      </w:tr>
      <w:tr w:rsidR="00121435" w14:paraId="35062598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7BC082EE" w14:textId="77777777" w:rsidR="00121435" w:rsidRDefault="0012143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36BECFB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E6F3139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AC041F5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CAF1D5D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121435" w14:paraId="75FBFD0A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47DD0386" w14:textId="77777777" w:rsidR="00121435" w:rsidRDefault="0012143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4DCF437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1,316,125.0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B918EDD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1,316,125.0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A22868F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1,386,623.1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990E05B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105.4%</w:t>
            </w:r>
          </w:p>
        </w:tc>
      </w:tr>
      <w:tr w:rsidR="00121435" w14:paraId="28CB5457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5F275DBF" w14:textId="77777777" w:rsidR="00121435" w:rsidRDefault="00121435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4443EA2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967,079.0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92382F3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964,271.9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26383A9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959,158.5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EBECCFF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99.5%</w:t>
            </w:r>
          </w:p>
        </w:tc>
      </w:tr>
      <w:tr w:rsidR="00121435" w14:paraId="1EB5153D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1B6F5145" w14:textId="77777777" w:rsidR="00121435" w:rsidRDefault="00121435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88D785E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967,079.0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64F7FC0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42,165.1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2E494CF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42,165.1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62D9B8D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121435" w14:paraId="3DDF16EB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23FC94A9" w14:textId="77777777" w:rsidR="00121435" w:rsidRDefault="0012143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lastRenderedPageBreak/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BDFE685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79B4EF6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C311A9F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2D704C6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121435" w14:paraId="276A78A5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327EF9EE" w14:textId="77777777" w:rsidR="00121435" w:rsidRDefault="0012143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C470104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AFEE353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2,165.1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F63BE11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2,165.1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07F86FE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121435" w14:paraId="55D93234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3AA31886" w14:textId="77777777" w:rsidR="00121435" w:rsidRDefault="00121435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DF0AA91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4CC4701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922,106.8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BCCD266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916,993.4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BB04F26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99.4%</w:t>
            </w:r>
          </w:p>
        </w:tc>
      </w:tr>
      <w:tr w:rsidR="00121435" w14:paraId="49377CAA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0867E716" w14:textId="77777777" w:rsidR="00121435" w:rsidRDefault="0012143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518E394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6DF5B29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922,106.8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1B92F26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916,993.4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852BD5D" w14:textId="77777777" w:rsidR="00121435" w:rsidRDefault="0012143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121435" w14:paraId="5CA81EC5" w14:textId="77777777" w:rsidTr="00121435">
        <w:trPr>
          <w:trHeight w:val="288"/>
        </w:trPr>
        <w:tc>
          <w:tcPr>
            <w:tcW w:w="2420" w:type="pct"/>
            <w:shd w:val="clear" w:color="auto" w:fill="auto"/>
            <w:vAlign w:val="center"/>
            <w:hideMark/>
          </w:tcPr>
          <w:p w14:paraId="70B66477" w14:textId="77777777" w:rsidR="00121435" w:rsidRDefault="0012143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03919DA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9A173F8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1EADEA3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A6C027C" w14:textId="77777777" w:rsidR="00121435" w:rsidRDefault="0012143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38B14F99" w14:textId="77777777" w:rsidR="00121435" w:rsidRDefault="00121435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54766DE" w14:textId="77777777" w:rsidR="00DF15D9" w:rsidRDefault="00DF15D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F4214AA" w14:textId="77777777" w:rsidR="00DF15D9" w:rsidRDefault="00DF15D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451F7235" w14:textId="77777777" w:rsidR="00DF15D9" w:rsidRPr="00A233FA" w:rsidRDefault="00DF15D9" w:rsidP="00DF15D9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C52676">
        <w:rPr>
          <w:rFonts w:ascii="Sylfaen" w:hAnsi="Sylfaen"/>
          <w:i/>
          <w:noProof/>
          <w:sz w:val="18"/>
          <w:szCs w:val="18"/>
          <w:lang w:val="ka-GE"/>
        </w:rPr>
        <w:t>*</w:t>
      </w:r>
      <w:r w:rsidRPr="00C52676">
        <w:rPr>
          <w:rFonts w:ascii="Sylfaen" w:hAnsi="Sylfaen"/>
          <w:i/>
          <w:noProof/>
          <w:sz w:val="18"/>
          <w:szCs w:val="18"/>
          <w:lang w:val="pt-BR"/>
        </w:rPr>
        <w:t xml:space="preserve">შენიშვნა: საანგარიშო პერიოდში ფასიანი ქაღალდების რეალიზაციით მიღებულმა თანხამ </w:t>
      </w:r>
      <w:r w:rsidRPr="00C52676">
        <w:rPr>
          <w:rFonts w:ascii="Sylfaen" w:hAnsi="Sylfaen"/>
          <w:i/>
          <w:noProof/>
          <w:sz w:val="18"/>
          <w:szCs w:val="18"/>
        </w:rPr>
        <w:t>2 288 035.2</w:t>
      </w:r>
      <w:r w:rsidRPr="00C52676">
        <w:rPr>
          <w:rFonts w:ascii="Sylfaen" w:hAnsi="Sylfaen" w:cs="Sylfaen"/>
          <w:i/>
          <w:sz w:val="18"/>
          <w:szCs w:val="18"/>
          <w:lang w:val="ka-GE"/>
        </w:rPr>
        <w:t xml:space="preserve"> </w:t>
      </w:r>
      <w:r w:rsidRPr="00C52676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ლარი, ხოლო ძირითადი თანხის დაფარვამ </w:t>
      </w:r>
      <w:r w:rsidR="00C52676" w:rsidRPr="00C52676">
        <w:rPr>
          <w:rFonts w:ascii="Sylfaen" w:hAnsi="Sylfaen"/>
          <w:i/>
          <w:noProof/>
          <w:sz w:val="18"/>
          <w:szCs w:val="18"/>
        </w:rPr>
        <w:t>1 339 264.0</w:t>
      </w:r>
      <w:r w:rsidRPr="00C52676">
        <w:rPr>
          <w:rFonts w:ascii="Sylfaen" w:hAnsi="Sylfaen" w:cs="Sylfaen"/>
          <w:i/>
          <w:sz w:val="18"/>
          <w:szCs w:val="18"/>
          <w:lang w:val="ka-GE"/>
        </w:rPr>
        <w:t xml:space="preserve"> </w:t>
      </w:r>
      <w:r w:rsidRPr="00C52676">
        <w:rPr>
          <w:rFonts w:ascii="Sylfaen" w:hAnsi="Sylfaen"/>
          <w:i/>
          <w:noProof/>
          <w:sz w:val="18"/>
          <w:szCs w:val="18"/>
          <w:lang w:val="pt-BR"/>
        </w:rPr>
        <w:t>ათასი ლარი შეადგინა. შესაბამისად, სახაზინო ვალდებულებების და სახაზინო ობლიგაციების გამოშვების შედეგად, საშინაო ვალდებულების</w:t>
      </w:r>
      <w:r w:rsidRPr="00C52676">
        <w:rPr>
          <w:rFonts w:ascii="Sylfaen" w:hAnsi="Sylfaen"/>
          <w:i/>
          <w:noProof/>
          <w:sz w:val="18"/>
          <w:szCs w:val="18"/>
          <w:lang w:val="ka-GE"/>
        </w:rPr>
        <w:t xml:space="preserve"> </w:t>
      </w:r>
      <w:r w:rsidRPr="00C52676">
        <w:rPr>
          <w:rFonts w:ascii="Sylfaen" w:hAnsi="Sylfaen"/>
          <w:i/>
          <w:noProof/>
          <w:sz w:val="18"/>
          <w:szCs w:val="18"/>
          <w:lang w:val="pt-BR"/>
        </w:rPr>
        <w:t xml:space="preserve">ზრდამ შეადგინა  </w:t>
      </w:r>
      <w:r w:rsidRPr="00C52676">
        <w:rPr>
          <w:rFonts w:ascii="Sylfaen" w:hAnsi="Sylfaen" w:cs="Sylfaen"/>
          <w:i/>
          <w:sz w:val="18"/>
          <w:szCs w:val="18"/>
        </w:rPr>
        <w:t>948 771.2</w:t>
      </w:r>
      <w:r w:rsidRPr="00C52676">
        <w:rPr>
          <w:rFonts w:ascii="Sylfaen" w:hAnsi="Sylfaen" w:cs="Sylfaen"/>
          <w:i/>
          <w:sz w:val="18"/>
          <w:szCs w:val="18"/>
          <w:lang w:val="ka-GE"/>
        </w:rPr>
        <w:t xml:space="preserve"> </w:t>
      </w:r>
      <w:r w:rsidRPr="00C52676">
        <w:rPr>
          <w:rFonts w:ascii="Sylfaen" w:hAnsi="Sylfaen"/>
          <w:i/>
          <w:noProof/>
          <w:sz w:val="18"/>
          <w:szCs w:val="18"/>
          <w:lang w:val="pt-BR"/>
        </w:rPr>
        <w:t>ათასი ლარი.</w:t>
      </w:r>
    </w:p>
    <w:p w14:paraId="626D3AC9" w14:textId="77777777" w:rsidR="00DF15D9" w:rsidRDefault="00DF15D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3752191" w14:textId="77777777" w:rsidR="00636269" w:rsidRDefault="00636269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0F956469" w14:textId="77777777"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7139D47A" w14:textId="77777777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52993F56" w14:textId="77777777" w:rsidR="00DF15D9" w:rsidRDefault="00DF15D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371"/>
        <w:gridCol w:w="1689"/>
        <w:gridCol w:w="1665"/>
        <w:gridCol w:w="1341"/>
        <w:gridCol w:w="1274"/>
      </w:tblGrid>
      <w:tr w:rsidR="00DF15D9" w14:paraId="7EB8890D" w14:textId="77777777" w:rsidTr="0041105B">
        <w:trPr>
          <w:trHeight w:val="288"/>
          <w:tblHeader/>
        </w:trPr>
        <w:tc>
          <w:tcPr>
            <w:tcW w:w="2146" w:type="pct"/>
            <w:shd w:val="clear" w:color="auto" w:fill="auto"/>
            <w:vAlign w:val="center"/>
            <w:hideMark/>
          </w:tcPr>
          <w:p w14:paraId="5C1F9930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344A333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2019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დამტკიცებული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B35B06C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2019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15BDF15C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2019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2E10CE5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DF15D9" w14:paraId="028AB371" w14:textId="77777777" w:rsidTr="0041105B">
        <w:trPr>
          <w:trHeight w:val="288"/>
        </w:trPr>
        <w:tc>
          <w:tcPr>
            <w:tcW w:w="2146" w:type="pct"/>
            <w:shd w:val="clear" w:color="auto" w:fill="auto"/>
            <w:vAlign w:val="center"/>
            <w:hideMark/>
          </w:tcPr>
          <w:p w14:paraId="086EAC17" w14:textId="77777777" w:rsidR="00DF15D9" w:rsidRDefault="00DF15D9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8CCA548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12,956,525.0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7DED7419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12,956,525.0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198BE516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13,252,192.6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6E0362A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102.3%</w:t>
            </w:r>
          </w:p>
        </w:tc>
      </w:tr>
      <w:tr w:rsidR="00DF15D9" w14:paraId="6A74B3A7" w14:textId="77777777" w:rsidTr="0041105B">
        <w:trPr>
          <w:trHeight w:val="288"/>
        </w:trPr>
        <w:tc>
          <w:tcPr>
            <w:tcW w:w="2146" w:type="pct"/>
            <w:shd w:val="clear" w:color="auto" w:fill="auto"/>
            <w:vAlign w:val="center"/>
            <w:hideMark/>
          </w:tcPr>
          <w:p w14:paraId="1E12A2C9" w14:textId="77777777" w:rsidR="00DF15D9" w:rsidRDefault="00DF15D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BFBBD5B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10,540,400.0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139C2FB7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10,540,400.0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69DF4948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10,675,037.7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60B4C23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101.3%</w:t>
            </w:r>
          </w:p>
        </w:tc>
      </w:tr>
      <w:tr w:rsidR="00DF15D9" w14:paraId="14B90843" w14:textId="77777777" w:rsidTr="0041105B">
        <w:trPr>
          <w:trHeight w:val="288"/>
        </w:trPr>
        <w:tc>
          <w:tcPr>
            <w:tcW w:w="2146" w:type="pct"/>
            <w:shd w:val="clear" w:color="auto" w:fill="auto"/>
            <w:vAlign w:val="center"/>
            <w:hideMark/>
          </w:tcPr>
          <w:p w14:paraId="1A1CFED0" w14:textId="77777777" w:rsidR="00DF15D9" w:rsidRDefault="00DF15D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5682FAD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80,000.0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68F9EFF0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80,000.0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5776C033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93,231.0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1B84198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116.5%</w:t>
            </w:r>
          </w:p>
        </w:tc>
      </w:tr>
      <w:tr w:rsidR="00DF15D9" w14:paraId="24D09F2B" w14:textId="77777777" w:rsidTr="0041105B">
        <w:trPr>
          <w:trHeight w:val="288"/>
        </w:trPr>
        <w:tc>
          <w:tcPr>
            <w:tcW w:w="2146" w:type="pct"/>
            <w:shd w:val="clear" w:color="auto" w:fill="auto"/>
            <w:vAlign w:val="center"/>
            <w:hideMark/>
          </w:tcPr>
          <w:p w14:paraId="197EB3FB" w14:textId="77777777" w:rsidR="00DF15D9" w:rsidRDefault="00DF15D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CCB7329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120,000.0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140DB09B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120,000.0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6C3CF370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148,529.1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953F450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123.8%</w:t>
            </w:r>
          </w:p>
        </w:tc>
      </w:tr>
      <w:tr w:rsidR="00DF15D9" w14:paraId="1847E6E0" w14:textId="77777777" w:rsidTr="0041105B">
        <w:trPr>
          <w:trHeight w:val="288"/>
        </w:trPr>
        <w:tc>
          <w:tcPr>
            <w:tcW w:w="2146" w:type="pct"/>
            <w:shd w:val="clear" w:color="auto" w:fill="auto"/>
            <w:vAlign w:val="center"/>
            <w:hideMark/>
          </w:tcPr>
          <w:p w14:paraId="72770311" w14:textId="77777777" w:rsidR="00DF15D9" w:rsidRDefault="00DF15D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ABDAA32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2,216,125.0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937264B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2,216,125.0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13C4D4D4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2,335,394.8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1258ABB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105.4%</w:t>
            </w:r>
          </w:p>
        </w:tc>
      </w:tr>
      <w:tr w:rsidR="00DF15D9" w14:paraId="1F81C063" w14:textId="77777777" w:rsidTr="0041105B">
        <w:trPr>
          <w:trHeight w:val="288"/>
        </w:trPr>
        <w:tc>
          <w:tcPr>
            <w:tcW w:w="2146" w:type="pct"/>
            <w:shd w:val="clear" w:color="auto" w:fill="auto"/>
            <w:vAlign w:val="center"/>
            <w:hideMark/>
          </w:tcPr>
          <w:p w14:paraId="1970E909" w14:textId="77777777" w:rsidR="00DF15D9" w:rsidRDefault="00DF15D9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BA8AC17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13,313,115.0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0DEB7D3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13,313,115.0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6B3EE417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13,469,689.0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6C14505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101.2%</w:t>
            </w:r>
          </w:p>
        </w:tc>
      </w:tr>
      <w:tr w:rsidR="00DF15D9" w14:paraId="10EEDF73" w14:textId="77777777" w:rsidTr="0041105B">
        <w:trPr>
          <w:trHeight w:val="288"/>
        </w:trPr>
        <w:tc>
          <w:tcPr>
            <w:tcW w:w="2146" w:type="pct"/>
            <w:shd w:val="clear" w:color="auto" w:fill="auto"/>
            <w:vAlign w:val="center"/>
            <w:hideMark/>
          </w:tcPr>
          <w:p w14:paraId="4FBE5B33" w14:textId="77777777" w:rsidR="00DF15D9" w:rsidRDefault="00DF15D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4BD8712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9,999,052.9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05F3ABB0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9,944,658.2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700E32DC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9,975,521.8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BC21D67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100.3%</w:t>
            </w:r>
          </w:p>
        </w:tc>
      </w:tr>
      <w:tr w:rsidR="00DF15D9" w14:paraId="0735F8AD" w14:textId="77777777" w:rsidTr="0041105B">
        <w:trPr>
          <w:trHeight w:val="288"/>
        </w:trPr>
        <w:tc>
          <w:tcPr>
            <w:tcW w:w="2146" w:type="pct"/>
            <w:shd w:val="clear" w:color="auto" w:fill="auto"/>
            <w:vAlign w:val="center"/>
            <w:hideMark/>
          </w:tcPr>
          <w:p w14:paraId="36FEE8F6" w14:textId="77777777" w:rsidR="00DF15D9" w:rsidRDefault="00DF15D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C3C0952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2,137,593.1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563E7477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2,187,289.9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3506E5CD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2,256,128.1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4AACAE1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103.1%</w:t>
            </w:r>
          </w:p>
        </w:tc>
      </w:tr>
      <w:tr w:rsidR="00DF15D9" w14:paraId="63671C33" w14:textId="77777777" w:rsidTr="0041105B">
        <w:trPr>
          <w:trHeight w:val="288"/>
        </w:trPr>
        <w:tc>
          <w:tcPr>
            <w:tcW w:w="2146" w:type="pct"/>
            <w:shd w:val="clear" w:color="auto" w:fill="auto"/>
            <w:vAlign w:val="center"/>
            <w:hideMark/>
          </w:tcPr>
          <w:p w14:paraId="3C91BDA5" w14:textId="77777777" w:rsidR="00DF15D9" w:rsidRDefault="00DF15D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E2530A4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209,390.0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3C7EB48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216,895.0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1799EB9F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278,880.5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6F0EAA9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128.6%</w:t>
            </w:r>
          </w:p>
        </w:tc>
      </w:tr>
      <w:tr w:rsidR="00DF15D9" w14:paraId="72DCBDDF" w14:textId="77777777" w:rsidTr="0041105B">
        <w:trPr>
          <w:trHeight w:val="288"/>
        </w:trPr>
        <w:tc>
          <w:tcPr>
            <w:tcW w:w="2146" w:type="pct"/>
            <w:shd w:val="clear" w:color="auto" w:fill="auto"/>
            <w:vAlign w:val="center"/>
            <w:hideMark/>
          </w:tcPr>
          <w:p w14:paraId="05B1C352" w14:textId="77777777" w:rsidR="00DF15D9" w:rsidRDefault="00DF15D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F9EDEC2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967,079.0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5CD47445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964,271.9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5D7D52F5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959,158.5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BE45D51" w14:textId="77777777" w:rsidR="00DF15D9" w:rsidRDefault="00DF15D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DF15D9" w14:paraId="29FB4254" w14:textId="77777777" w:rsidTr="0041105B">
        <w:trPr>
          <w:trHeight w:val="288"/>
        </w:trPr>
        <w:tc>
          <w:tcPr>
            <w:tcW w:w="2146" w:type="pct"/>
            <w:shd w:val="clear" w:color="auto" w:fill="auto"/>
            <w:vAlign w:val="center"/>
            <w:hideMark/>
          </w:tcPr>
          <w:p w14:paraId="196CFEDD" w14:textId="77777777" w:rsidR="00DF15D9" w:rsidRDefault="00DF15D9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57A18AA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-356,590.0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810E3F6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-356,590.0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7B0622AA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-217,496.4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56CCCD8" w14:textId="77777777" w:rsidR="00DF15D9" w:rsidRDefault="00DF15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61.0%</w:t>
            </w:r>
          </w:p>
        </w:tc>
      </w:tr>
    </w:tbl>
    <w:p w14:paraId="272C4B69" w14:textId="77777777" w:rsidR="00DF15D9" w:rsidRDefault="00DF15D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955CC24" w14:textId="77777777" w:rsidR="00DF15D9" w:rsidRDefault="00DF15D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B85687B" w14:textId="77777777" w:rsidR="00DF15D9" w:rsidRDefault="00DF15D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80603A2" w14:textId="77777777" w:rsidR="00DF15D9" w:rsidRDefault="00DF15D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49C64C98" w14:textId="77777777" w:rsidR="00DF15D9" w:rsidRPr="00776AEE" w:rsidRDefault="00DF15D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7754EE4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652C6E">
      <w:footerReference w:type="even" r:id="rId8"/>
      <w:footerReference w:type="default" r:id="rId9"/>
      <w:pgSz w:w="12240" w:h="15840"/>
      <w:pgMar w:top="900" w:right="108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0521C" w14:textId="77777777" w:rsidR="00ED6A06" w:rsidRDefault="00ED6A06">
      <w:r>
        <w:separator/>
      </w:r>
    </w:p>
  </w:endnote>
  <w:endnote w:type="continuationSeparator" w:id="0">
    <w:p w14:paraId="76F7F245" w14:textId="77777777" w:rsidR="00ED6A06" w:rsidRDefault="00ED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Segoe UI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CB6DA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DFBFA7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2362D" w14:textId="485348B9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5D70">
      <w:rPr>
        <w:noProof/>
      </w:rPr>
      <w:t>3</w:t>
    </w:r>
    <w:r>
      <w:rPr>
        <w:noProof/>
      </w:rPr>
      <w:fldChar w:fldCharType="end"/>
    </w:r>
  </w:p>
  <w:p w14:paraId="1835203D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9DF85" w14:textId="77777777" w:rsidR="00ED6A06" w:rsidRDefault="00ED6A06">
      <w:r>
        <w:separator/>
      </w:r>
    </w:p>
  </w:footnote>
  <w:footnote w:type="continuationSeparator" w:id="0">
    <w:p w14:paraId="31540EA1" w14:textId="77777777" w:rsidR="00ED6A06" w:rsidRDefault="00ED6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2D7D"/>
    <w:rsid w:val="00012D23"/>
    <w:rsid w:val="00027F05"/>
    <w:rsid w:val="00033A0F"/>
    <w:rsid w:val="00040F37"/>
    <w:rsid w:val="00051D0D"/>
    <w:rsid w:val="0005206E"/>
    <w:rsid w:val="00064ADD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1435"/>
    <w:rsid w:val="001258E1"/>
    <w:rsid w:val="001322B1"/>
    <w:rsid w:val="00142817"/>
    <w:rsid w:val="00161181"/>
    <w:rsid w:val="00164AB5"/>
    <w:rsid w:val="00172D08"/>
    <w:rsid w:val="00177D45"/>
    <w:rsid w:val="00185F45"/>
    <w:rsid w:val="0018751E"/>
    <w:rsid w:val="001A5533"/>
    <w:rsid w:val="001B3125"/>
    <w:rsid w:val="001B62EE"/>
    <w:rsid w:val="001B75A1"/>
    <w:rsid w:val="001C64D6"/>
    <w:rsid w:val="001D152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45D70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400B84"/>
    <w:rsid w:val="00407E7B"/>
    <w:rsid w:val="0041105B"/>
    <w:rsid w:val="00413797"/>
    <w:rsid w:val="004250C8"/>
    <w:rsid w:val="00425B72"/>
    <w:rsid w:val="00431C48"/>
    <w:rsid w:val="00434D4A"/>
    <w:rsid w:val="0044358D"/>
    <w:rsid w:val="0044494C"/>
    <w:rsid w:val="004552CA"/>
    <w:rsid w:val="004651CC"/>
    <w:rsid w:val="004654B7"/>
    <w:rsid w:val="0047670D"/>
    <w:rsid w:val="004828F2"/>
    <w:rsid w:val="0048644F"/>
    <w:rsid w:val="004B2B62"/>
    <w:rsid w:val="004C4F17"/>
    <w:rsid w:val="004E7B74"/>
    <w:rsid w:val="004F3D40"/>
    <w:rsid w:val="004F6106"/>
    <w:rsid w:val="00511CEC"/>
    <w:rsid w:val="005316BC"/>
    <w:rsid w:val="0053556F"/>
    <w:rsid w:val="00545297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35EC4"/>
    <w:rsid w:val="00952990"/>
    <w:rsid w:val="00965823"/>
    <w:rsid w:val="00986349"/>
    <w:rsid w:val="00996EFF"/>
    <w:rsid w:val="009A3439"/>
    <w:rsid w:val="009A7F97"/>
    <w:rsid w:val="009B0108"/>
    <w:rsid w:val="009B7250"/>
    <w:rsid w:val="009C4A57"/>
    <w:rsid w:val="009D451A"/>
    <w:rsid w:val="009E2932"/>
    <w:rsid w:val="00A233FA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C2CCB"/>
    <w:rsid w:val="00AC5AAF"/>
    <w:rsid w:val="00B00200"/>
    <w:rsid w:val="00B02D73"/>
    <w:rsid w:val="00B06075"/>
    <w:rsid w:val="00B06C33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840CF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4AB5"/>
    <w:rsid w:val="00C44823"/>
    <w:rsid w:val="00C46EF8"/>
    <w:rsid w:val="00C510D5"/>
    <w:rsid w:val="00C5250A"/>
    <w:rsid w:val="00C52676"/>
    <w:rsid w:val="00C57C99"/>
    <w:rsid w:val="00C636AC"/>
    <w:rsid w:val="00C71573"/>
    <w:rsid w:val="00C92323"/>
    <w:rsid w:val="00C94226"/>
    <w:rsid w:val="00C94613"/>
    <w:rsid w:val="00C96820"/>
    <w:rsid w:val="00C9697E"/>
    <w:rsid w:val="00C97D18"/>
    <w:rsid w:val="00CA102B"/>
    <w:rsid w:val="00CA234A"/>
    <w:rsid w:val="00CB035B"/>
    <w:rsid w:val="00CB63C8"/>
    <w:rsid w:val="00CD2D4B"/>
    <w:rsid w:val="00CD505B"/>
    <w:rsid w:val="00CE1C59"/>
    <w:rsid w:val="00CE299B"/>
    <w:rsid w:val="00CE64A3"/>
    <w:rsid w:val="00CF6ACD"/>
    <w:rsid w:val="00CF74B6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7212"/>
    <w:rsid w:val="00D7710C"/>
    <w:rsid w:val="00D94D25"/>
    <w:rsid w:val="00D97448"/>
    <w:rsid w:val="00DB3985"/>
    <w:rsid w:val="00DB7063"/>
    <w:rsid w:val="00DB73BD"/>
    <w:rsid w:val="00DC5C16"/>
    <w:rsid w:val="00DD1B16"/>
    <w:rsid w:val="00DD24EA"/>
    <w:rsid w:val="00DE4836"/>
    <w:rsid w:val="00DF15D9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329E"/>
    <w:rsid w:val="00E77271"/>
    <w:rsid w:val="00EA5D53"/>
    <w:rsid w:val="00EB1C41"/>
    <w:rsid w:val="00EB4258"/>
    <w:rsid w:val="00EB4B3D"/>
    <w:rsid w:val="00EC2A3C"/>
    <w:rsid w:val="00EC53D1"/>
    <w:rsid w:val="00EC60A5"/>
    <w:rsid w:val="00EC6760"/>
    <w:rsid w:val="00ED2A45"/>
    <w:rsid w:val="00ED2DCB"/>
    <w:rsid w:val="00ED4EC5"/>
    <w:rsid w:val="00ED6A06"/>
    <w:rsid w:val="00EE4C13"/>
    <w:rsid w:val="00EF4377"/>
    <w:rsid w:val="00EF657C"/>
    <w:rsid w:val="00F01363"/>
    <w:rsid w:val="00F2735D"/>
    <w:rsid w:val="00F37554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D03F5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214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1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143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1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1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3CDD-6B0A-425C-AAEE-42B89896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9</cp:revision>
  <cp:lastPrinted>2018-04-25T12:08:00Z</cp:lastPrinted>
  <dcterms:created xsi:type="dcterms:W3CDTF">2020-03-13T06:34:00Z</dcterms:created>
  <dcterms:modified xsi:type="dcterms:W3CDTF">2020-05-20T11:58:00Z</dcterms:modified>
</cp:coreProperties>
</file>